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r w:rsidR="00FF5B32">
        <w:rPr>
          <w:rFonts w:ascii="Times New Roman" w:hAnsi="Times New Roman"/>
          <w:sz w:val="24"/>
          <w:szCs w:val="24"/>
        </w:rPr>
        <w:t>_________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FF5B32">
        <w:rPr>
          <w:rFonts w:ascii="Times New Roman" w:hAnsi="Times New Roman"/>
          <w:sz w:val="24"/>
          <w:szCs w:val="24"/>
        </w:rPr>
        <w:t>товара</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w:t>
      </w:r>
      <w:r w:rsidR="00FF5B32">
        <w:rPr>
          <w:rFonts w:ascii="Times New Roman" w:hAnsi="Times New Roman" w:cs="Times New Roman"/>
          <w:sz w:val="24"/>
          <w:szCs w:val="24"/>
        </w:rPr>
        <w:t>Москва</w:t>
      </w:r>
      <w:r w:rsidR="00FF5B32">
        <w:rPr>
          <w:rFonts w:ascii="Times New Roman" w:hAnsi="Times New Roman" w:cs="Times New Roman"/>
          <w:sz w:val="24"/>
          <w:szCs w:val="24"/>
        </w:rPr>
        <w:tab/>
      </w:r>
      <w:r w:rsidR="00FF5B32">
        <w:rPr>
          <w:rFonts w:ascii="Times New Roman" w:hAnsi="Times New Roman" w:cs="Times New Roman"/>
          <w:sz w:val="24"/>
          <w:szCs w:val="24"/>
        </w:rPr>
        <w:tab/>
      </w:r>
      <w:r w:rsidRPr="00EF0EC1">
        <w:rPr>
          <w:rFonts w:ascii="Times New Roman" w:hAnsi="Times New Roman" w:cs="Times New Roman"/>
          <w:sz w:val="24"/>
          <w:szCs w:val="24"/>
        </w:rPr>
        <w:t xml:space="preserve">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77003D">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00A24E8A">
        <w:rPr>
          <w:iCs/>
          <w:sz w:val="24"/>
          <w:szCs w:val="24"/>
        </w:rPr>
        <w:t>поставить</w:t>
      </w:r>
      <w:r w:rsidRPr="00EF0EC1">
        <w:rPr>
          <w:iCs/>
          <w:sz w:val="24"/>
          <w:szCs w:val="24"/>
        </w:rPr>
        <w:t xml:space="preserve"> </w:t>
      </w:r>
      <w:r w:rsidR="00FF5B32">
        <w:rPr>
          <w:iCs/>
          <w:sz w:val="24"/>
          <w:szCs w:val="24"/>
        </w:rPr>
        <w:t>________________________________</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D5DEE">
        <w:t>_____________</w:t>
      </w:r>
      <w:r>
        <w:t>»</w:t>
      </w:r>
      <w:r w:rsidR="00AD5DEE">
        <w:t xml:space="preserve"> </w:t>
      </w:r>
      <w:r>
        <w:t>201</w:t>
      </w:r>
      <w:r w:rsidR="00AD5DEE">
        <w:t>9</w:t>
      </w:r>
      <w:r>
        <w:t xml:space="preserve"> 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w:t>
      </w:r>
      <w:r w:rsidR="00FF5B32">
        <w:rPr>
          <w:bCs/>
        </w:rPr>
        <w:t>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850D01">
        <w:rPr>
          <w:sz w:val="24"/>
          <w:szCs w:val="24"/>
        </w:rPr>
        <w:t xml:space="preserve"> — __________________ (___________________________________) </w:t>
      </w:r>
      <w:proofErr w:type="gramEnd"/>
      <w:r w:rsidRPr="00850D01">
        <w:rPr>
          <w:sz w:val="24"/>
          <w:szCs w:val="24"/>
        </w:rPr>
        <w:t xml:space="preserve">руб. ___ коп. (в том числе НДС (___%)/ </w:t>
      </w:r>
      <w:r w:rsidRPr="00850D01">
        <w:rPr>
          <w:i/>
          <w:sz w:val="24"/>
          <w:szCs w:val="24"/>
        </w:rPr>
        <w:t xml:space="preserve">или НДС не облагается на </w:t>
      </w:r>
      <w:proofErr w:type="spellStart"/>
      <w:r w:rsidRPr="00850D01">
        <w:rPr>
          <w:i/>
          <w:sz w:val="24"/>
          <w:szCs w:val="24"/>
        </w:rPr>
        <w:t>основании_____________________</w:t>
      </w:r>
      <w:proofErr w:type="spellEnd"/>
      <w:r w:rsidRPr="00850D01">
        <w:rPr>
          <w:i/>
          <w:sz w:val="24"/>
          <w:szCs w:val="24"/>
        </w:rPr>
        <w:t>).</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w:t>
      </w:r>
      <w:r w:rsidRPr="00EF0EC1">
        <w:rPr>
          <w:rFonts w:ascii="Times New Roman" w:hAnsi="Times New Roman" w:cs="Times New Roman"/>
          <w:bCs/>
          <w:sz w:val="24"/>
          <w:szCs w:val="24"/>
        </w:rPr>
        <w:lastRenderedPageBreak/>
        <w:t xml:space="preserve">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lastRenderedPageBreak/>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5B32"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p>
    <w:p w:rsidR="00FD5BEE" w:rsidRPr="00EF0EC1" w:rsidRDefault="00FD5BEE" w:rsidP="00015497">
      <w:pPr>
        <w:pStyle w:val="a5"/>
        <w:jc w:val="both"/>
        <w:rPr>
          <w:sz w:val="24"/>
          <w:szCs w:val="24"/>
        </w:rPr>
      </w:pPr>
      <w:r w:rsidRPr="00EF0EC1">
        <w:rPr>
          <w:sz w:val="24"/>
          <w:szCs w:val="24"/>
        </w:rPr>
        <w:tab/>
      </w:r>
      <w:r w:rsidR="00FF5B32">
        <w:rPr>
          <w:sz w:val="24"/>
          <w:szCs w:val="24"/>
        </w:rPr>
        <w:t>5.3.</w:t>
      </w:r>
      <w:r w:rsidR="00FF5B32" w:rsidRPr="00CA6CAF">
        <w:rPr>
          <w:sz w:val="24"/>
          <w:szCs w:val="24"/>
        </w:rPr>
        <w:t xml:space="preserve">Гарантийный срок для Товара </w:t>
      </w:r>
      <w:r w:rsidR="00FF5B32" w:rsidRPr="00506BC6">
        <w:rPr>
          <w:sz w:val="24"/>
          <w:szCs w:val="24"/>
        </w:rPr>
        <w:t xml:space="preserve">составляет 12 (Двенадцать) месяцев </w:t>
      </w:r>
      <w:proofErr w:type="gramStart"/>
      <w:r w:rsidR="00FF5B32" w:rsidRPr="00506BC6">
        <w:rPr>
          <w:sz w:val="24"/>
          <w:szCs w:val="24"/>
        </w:rPr>
        <w:t>с даты подписания</w:t>
      </w:r>
      <w:proofErr w:type="gramEnd"/>
      <w:r w:rsidR="00FF5B32" w:rsidRPr="00506BC6">
        <w:rPr>
          <w:sz w:val="24"/>
          <w:szCs w:val="24"/>
        </w:rPr>
        <w:t xml:space="preserve"> Получателем товарной накладной формы (ТОРГ-12).</w:t>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w:t>
      </w:r>
      <w:r w:rsidRPr="00CF21F8">
        <w:rPr>
          <w:sz w:val="24"/>
          <w:szCs w:val="24"/>
        </w:rPr>
        <w:lastRenderedPageBreak/>
        <w:t>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E61AD0" w:rsidRDefault="00E61AD0" w:rsidP="00015497">
      <w:pPr>
        <w:pStyle w:val="ConsNormal"/>
        <w:ind w:firstLine="0"/>
        <w:jc w:val="center"/>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 xml:space="preserve">12. </w:t>
      </w:r>
      <w:proofErr w:type="spellStart"/>
      <w:r w:rsidRPr="00EF0EC1">
        <w:rPr>
          <w:b/>
        </w:rPr>
        <w:t>Антикоррупционная</w:t>
      </w:r>
      <w:proofErr w:type="spellEnd"/>
      <w:r w:rsidRPr="00EF0EC1">
        <w:rPr>
          <w:b/>
        </w:rPr>
        <w:t xml:space="preserve"> оговорка</w:t>
      </w:r>
    </w:p>
    <w:p w:rsidR="00FD5BEE" w:rsidRPr="00EF0EC1" w:rsidRDefault="00FD5BEE" w:rsidP="00015497">
      <w:pPr>
        <w:pStyle w:val="Standard"/>
        <w:spacing w:line="276" w:lineRule="auto"/>
        <w:jc w:val="both"/>
      </w:pPr>
      <w:r w:rsidRPr="00EF0EC1">
        <w:tab/>
        <w:t>12.1. 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F0EC1">
        <w:t>аффилированными</w:t>
      </w:r>
      <w:proofErr w:type="spellEnd"/>
      <w:r w:rsidRPr="00EF0EC1">
        <w:t xml:space="preserve">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lastRenderedPageBreak/>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E96B90" w:rsidRPr="00E61AD0" w:rsidRDefault="00E96B90" w:rsidP="00015497">
      <w:pPr>
        <w:pStyle w:val="Standard"/>
        <w:spacing w:line="276" w:lineRule="auto"/>
        <w:jc w:val="center"/>
        <w:rPr>
          <w:b/>
          <w:sz w:val="16"/>
          <w:szCs w:val="16"/>
        </w:rPr>
      </w:pPr>
    </w:p>
    <w:p w:rsidR="00E61AD0" w:rsidRDefault="00E61AD0" w:rsidP="00E61AD0">
      <w:pPr>
        <w:pStyle w:val="Standard"/>
        <w:spacing w:line="276" w:lineRule="auto"/>
        <w:jc w:val="center"/>
        <w:rPr>
          <w:b/>
        </w:rPr>
      </w:pPr>
      <w:r w:rsidRPr="00270920">
        <w:rPr>
          <w:b/>
        </w:rPr>
        <w:t>13.</w:t>
      </w:r>
      <w:r>
        <w:rPr>
          <w:b/>
        </w:rPr>
        <w:t xml:space="preserve"> Налоговая оговорка</w:t>
      </w:r>
    </w:p>
    <w:p w:rsidR="00E61AD0" w:rsidRPr="00270920" w:rsidRDefault="00E61AD0" w:rsidP="00E61AD0">
      <w:pPr>
        <w:pStyle w:val="1"/>
        <w:shd w:val="clear" w:color="auto" w:fill="auto"/>
        <w:spacing w:after="0" w:line="341" w:lineRule="exact"/>
        <w:ind w:right="40" w:firstLine="709"/>
        <w:jc w:val="both"/>
        <w:rPr>
          <w:sz w:val="24"/>
          <w:szCs w:val="24"/>
        </w:rPr>
      </w:pPr>
      <w:r>
        <w:rPr>
          <w:sz w:val="24"/>
          <w:szCs w:val="24"/>
        </w:rPr>
        <w:t xml:space="preserve">13.1 </w:t>
      </w:r>
      <w:r w:rsidRPr="00270920">
        <w:rPr>
          <w:sz w:val="24"/>
          <w:szCs w:val="24"/>
        </w:rPr>
        <w:t>Поставщик гарантирует, что:</w:t>
      </w:r>
    </w:p>
    <w:p w:rsidR="00E61AD0" w:rsidRPr="00270920" w:rsidRDefault="00E61AD0" w:rsidP="00E61AD0">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E61AD0" w:rsidRPr="00270920" w:rsidRDefault="00E61AD0" w:rsidP="00E61AD0">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1AD0" w:rsidRPr="00270920" w:rsidRDefault="00E61AD0" w:rsidP="00E61AD0">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1AD0" w:rsidRPr="00270920" w:rsidRDefault="00E61AD0" w:rsidP="00E61AD0">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1AD0" w:rsidRPr="00270920" w:rsidRDefault="00E61AD0" w:rsidP="00E61AD0">
      <w:pPr>
        <w:pStyle w:val="1"/>
        <w:shd w:val="clear" w:color="auto" w:fill="auto"/>
        <w:spacing w:after="0" w:line="341" w:lineRule="exact"/>
        <w:ind w:right="40" w:firstLine="709"/>
        <w:jc w:val="both"/>
        <w:rPr>
          <w:sz w:val="24"/>
          <w:szCs w:val="24"/>
        </w:rPr>
      </w:pPr>
      <w:r w:rsidRPr="00270920">
        <w:rPr>
          <w:sz w:val="24"/>
          <w:szCs w:val="24"/>
        </w:rPr>
        <w:t xml:space="preserve">является членом </w:t>
      </w:r>
      <w:proofErr w:type="spellStart"/>
      <w:r w:rsidRPr="00270920">
        <w:rPr>
          <w:sz w:val="24"/>
          <w:szCs w:val="24"/>
        </w:rPr>
        <w:t>саморегулируемой</w:t>
      </w:r>
      <w:proofErr w:type="spellEnd"/>
      <w:r w:rsidRPr="00270920">
        <w:rPr>
          <w:sz w:val="24"/>
          <w:szCs w:val="24"/>
        </w:rPr>
        <w:t xml:space="preserve"> организации, если осуществляемая по договору деятельность требует членства в </w:t>
      </w:r>
      <w:proofErr w:type="spellStart"/>
      <w:r w:rsidRPr="00270920">
        <w:rPr>
          <w:sz w:val="24"/>
          <w:szCs w:val="24"/>
        </w:rPr>
        <w:t>саморегулируемой</w:t>
      </w:r>
      <w:proofErr w:type="spellEnd"/>
      <w:r w:rsidRPr="00270920">
        <w:rPr>
          <w:sz w:val="24"/>
          <w:szCs w:val="24"/>
        </w:rPr>
        <w:t xml:space="preserve"> организации;</w:t>
      </w:r>
    </w:p>
    <w:p w:rsidR="00E61AD0" w:rsidRPr="00270920" w:rsidRDefault="00E61AD0" w:rsidP="00E61AD0">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61AD0" w:rsidRPr="00270920" w:rsidRDefault="00E61AD0" w:rsidP="00E61AD0">
      <w:pPr>
        <w:pStyle w:val="1"/>
        <w:shd w:val="clear" w:color="auto" w:fill="auto"/>
        <w:spacing w:after="0" w:line="341" w:lineRule="exact"/>
        <w:ind w:right="40" w:firstLine="709"/>
        <w:jc w:val="both"/>
        <w:rPr>
          <w:sz w:val="24"/>
          <w:szCs w:val="24"/>
        </w:rPr>
      </w:pPr>
      <w:r w:rsidRPr="00270920">
        <w:rPr>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270920">
        <w:rPr>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E61AD0" w:rsidRPr="00270920" w:rsidRDefault="00E61AD0" w:rsidP="00E61AD0">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61AD0" w:rsidRPr="00270920" w:rsidRDefault="00E61AD0" w:rsidP="00E61AD0">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E61AD0" w:rsidRPr="00270920" w:rsidRDefault="00E61AD0" w:rsidP="00E61AD0">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E61AD0" w:rsidRPr="00270920" w:rsidRDefault="00E61AD0" w:rsidP="00E61AD0">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E61AD0" w:rsidRPr="00270920" w:rsidRDefault="00E61AD0" w:rsidP="00E61AD0">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Pr="00270920">
        <w:rPr>
          <w:sz w:val="24"/>
          <w:szCs w:val="24"/>
        </w:rPr>
        <w:t>Поставщик</w:t>
      </w:r>
      <w:r>
        <w:rPr>
          <w:sz w:val="24"/>
          <w:szCs w:val="24"/>
        </w:rPr>
        <w:t xml:space="preserve"> </w:t>
      </w:r>
      <w:r w:rsidRPr="00270920">
        <w:rPr>
          <w:sz w:val="24"/>
          <w:szCs w:val="24"/>
        </w:rPr>
        <w:t>нарушит гарантии (любую одну, несколько или все вместе), указанные в пункте 1 настоящего раздела, и это повлечет:</w:t>
      </w:r>
    </w:p>
    <w:p w:rsidR="00E61AD0" w:rsidRPr="00270920" w:rsidRDefault="00E61AD0" w:rsidP="00E61AD0">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E61AD0" w:rsidRPr="00270920" w:rsidRDefault="00E61AD0" w:rsidP="00E61AD0">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E61AD0" w:rsidRPr="00270920" w:rsidRDefault="00E61AD0" w:rsidP="00E61AD0">
      <w:pPr>
        <w:pStyle w:val="Standard"/>
        <w:spacing w:line="276" w:lineRule="auto"/>
        <w:ind w:firstLine="709"/>
        <w:jc w:val="both"/>
        <w:rPr>
          <w:b/>
        </w:rPr>
      </w:pPr>
      <w:r w:rsidRPr="00270920">
        <w:t>Поставщик</w:t>
      </w:r>
      <w:r>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61AD0" w:rsidRPr="00EF0EC1" w:rsidRDefault="00E61AD0" w:rsidP="00E61AD0">
      <w:pPr>
        <w:pStyle w:val="Standard"/>
        <w:spacing w:line="276" w:lineRule="auto"/>
        <w:jc w:val="center"/>
        <w:rPr>
          <w:b/>
        </w:rPr>
      </w:pPr>
      <w:r w:rsidRPr="00EF0EC1">
        <w:rPr>
          <w:b/>
        </w:rPr>
        <w:t>1</w:t>
      </w:r>
      <w:r>
        <w:rPr>
          <w:b/>
        </w:rPr>
        <w:t>4</w:t>
      </w:r>
      <w:r w:rsidRPr="00EF0EC1">
        <w:rPr>
          <w:b/>
        </w:rPr>
        <w:t>. Срок действия Договора</w:t>
      </w:r>
    </w:p>
    <w:p w:rsidR="00E61AD0" w:rsidRPr="00EF0EC1" w:rsidRDefault="00E61AD0" w:rsidP="00E61AD0">
      <w:pPr>
        <w:pStyle w:val="Standard"/>
        <w:spacing w:line="276" w:lineRule="auto"/>
        <w:jc w:val="both"/>
      </w:pPr>
      <w:r w:rsidRPr="00EF0EC1">
        <w:t xml:space="preserve">             1</w:t>
      </w:r>
      <w:r>
        <w:t>4</w:t>
      </w:r>
      <w:r w:rsidRPr="00EF0EC1">
        <w:t xml:space="preserve">.1 Настоящий Договор вступает в силу с момента его заключения  и действует </w:t>
      </w:r>
      <w:r>
        <w:t xml:space="preserve">по «    »                    20   года, в части финансовых расчетов - </w:t>
      </w:r>
      <w:r w:rsidRPr="00EF0EC1">
        <w:t>до полного исполнения Сторонами своих обязательств по настоящему Договору.</w:t>
      </w:r>
    </w:p>
    <w:p w:rsidR="00E61AD0" w:rsidRPr="00EF0EC1" w:rsidRDefault="00E61AD0" w:rsidP="00E61AD0">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EF0EC1">
        <w:rPr>
          <w:rFonts w:ascii="Times New Roman" w:hAnsi="Times New Roman" w:cs="Times New Roman"/>
          <w:b/>
          <w:sz w:val="24"/>
          <w:szCs w:val="24"/>
        </w:rPr>
        <w:t>. Прочие условия</w:t>
      </w:r>
    </w:p>
    <w:p w:rsidR="00E61AD0" w:rsidRPr="00EF0EC1" w:rsidRDefault="00E61AD0" w:rsidP="00E61AD0">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61AD0" w:rsidRPr="00EF0EC1" w:rsidRDefault="00E61AD0" w:rsidP="00E61AD0">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E61AD0" w:rsidRPr="00EF0EC1" w:rsidRDefault="00E61AD0" w:rsidP="00E61AD0">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61AD0" w:rsidRPr="00EF0EC1" w:rsidRDefault="00E61AD0" w:rsidP="00E61AD0">
      <w:pPr>
        <w:pStyle w:val="Standard"/>
        <w:ind w:firstLine="709"/>
        <w:jc w:val="both"/>
        <w:rPr>
          <w:shd w:val="clear" w:color="auto" w:fill="FFFFFF"/>
        </w:rPr>
      </w:pPr>
      <w:r w:rsidRPr="00EF0EC1">
        <w:rPr>
          <w:shd w:val="clear" w:color="auto" w:fill="FFFFFF"/>
        </w:rPr>
        <w:lastRenderedPageBreak/>
        <w:t>1</w:t>
      </w:r>
      <w:r>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E61AD0" w:rsidRPr="00EF0EC1" w:rsidRDefault="00E61AD0" w:rsidP="00E61AD0">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E61AD0" w:rsidRPr="00EF0EC1" w:rsidRDefault="00E61AD0" w:rsidP="00E61AD0">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E61AD0" w:rsidRPr="00EF0EC1" w:rsidRDefault="00E61AD0" w:rsidP="00E61AD0">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E61AD0" w:rsidRPr="00C813DF" w:rsidRDefault="00E61AD0" w:rsidP="00E61AD0">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Pr>
          <w:rFonts w:ascii="Times New Roman" w:hAnsi="Times New Roman" w:cs="Times New Roman"/>
          <w:sz w:val="24"/>
          <w:szCs w:val="24"/>
        </w:rPr>
        <w:t>риложение № 1).</w:t>
      </w:r>
    </w:p>
    <w:p w:rsidR="00E61AD0" w:rsidRDefault="00E61AD0" w:rsidP="00E61AD0">
      <w:pPr>
        <w:pStyle w:val="ConsNormal"/>
        <w:ind w:firstLine="709"/>
        <w:jc w:val="both"/>
        <w:rPr>
          <w:rFonts w:ascii="Times New Roman" w:hAnsi="Times New Roman" w:cs="Times New Roman"/>
          <w:i/>
          <w:sz w:val="24"/>
          <w:szCs w:val="24"/>
        </w:rPr>
      </w:pP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E96B9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 xml:space="preserve">НУЗ «Дорожная клиническая больница им. Н.А.Семашко на ст. </w:t>
            </w:r>
            <w:proofErr w:type="spellStart"/>
            <w:r w:rsidRPr="002C6BB3">
              <w:rPr>
                <w:sz w:val="24"/>
                <w:szCs w:val="24"/>
              </w:rPr>
              <w:t>Люблино</w:t>
            </w:r>
            <w:proofErr w:type="spellEnd"/>
            <w:r w:rsidRPr="002C6BB3">
              <w:rPr>
                <w:sz w:val="24"/>
                <w:szCs w:val="24"/>
              </w:rPr>
              <w:t xml:space="preserve">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spellStart"/>
            <w:proofErr w:type="gramStart"/>
            <w:r>
              <w:rPr>
                <w:sz w:val="24"/>
                <w:szCs w:val="24"/>
              </w:rPr>
              <w:t>р</w:t>
            </w:r>
            <w:proofErr w:type="spellEnd"/>
            <w:proofErr w:type="gramEnd"/>
            <w:r w:rsidRPr="002C6BB3">
              <w:rPr>
                <w:sz w:val="24"/>
                <w:szCs w:val="24"/>
              </w:rPr>
              <w:t>/с 40703810538250123496</w:t>
            </w:r>
          </w:p>
          <w:p w:rsidR="000A0289" w:rsidRDefault="000A0289" w:rsidP="000A0289">
            <w:pPr>
              <w:rPr>
                <w:sz w:val="24"/>
                <w:szCs w:val="24"/>
              </w:rPr>
            </w:pPr>
            <w:proofErr w:type="spellStart"/>
            <w:proofErr w:type="gramStart"/>
            <w:r w:rsidRPr="007F7A12">
              <w:rPr>
                <w:sz w:val="24"/>
                <w:szCs w:val="24"/>
              </w:rPr>
              <w:t>р</w:t>
            </w:r>
            <w:proofErr w:type="spellEnd"/>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bookmarkStart w:id="6" w:name="_GoBack"/>
            <w:bookmarkEnd w:id="6"/>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E61AD0" w:rsidRDefault="00E61AD0"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spellStart"/>
            <w:proofErr w:type="gramStart"/>
            <w:r w:rsidRPr="00EF0EC1">
              <w:t>п</w:t>
            </w:r>
            <w:proofErr w:type="spellEnd"/>
            <w:proofErr w:type="gramEnd"/>
            <w:r w:rsidRPr="00EF0EC1">
              <w:t>/</w:t>
            </w:r>
            <w:proofErr w:type="spellStart"/>
            <w:r w:rsidRPr="00EF0EC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r>
            <w:proofErr w:type="spellStart"/>
            <w:r w:rsidRPr="00EF0EC1">
              <w:t>изм</w:t>
            </w:r>
            <w:proofErr w:type="spellEnd"/>
            <w:r w:rsidRPr="00EF0EC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 xml:space="preserve">Стоимость </w:t>
            </w:r>
            <w:proofErr w:type="spellStart"/>
            <w:r w:rsidRPr="00EF0EC1">
              <w:t>вкл</w:t>
            </w:r>
            <w:proofErr w:type="spellEnd"/>
            <w:r w:rsidRPr="00EF0EC1">
              <w:t>.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E61AD0">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C0498"/>
    <w:rsid w:val="0027056B"/>
    <w:rsid w:val="00331DF0"/>
    <w:rsid w:val="00435762"/>
    <w:rsid w:val="00443ED4"/>
    <w:rsid w:val="00467637"/>
    <w:rsid w:val="00650133"/>
    <w:rsid w:val="00655D80"/>
    <w:rsid w:val="006D0FA6"/>
    <w:rsid w:val="006D5458"/>
    <w:rsid w:val="006E19FC"/>
    <w:rsid w:val="00702CCF"/>
    <w:rsid w:val="00725CC6"/>
    <w:rsid w:val="0077003D"/>
    <w:rsid w:val="007816E1"/>
    <w:rsid w:val="007C2CC1"/>
    <w:rsid w:val="00832660"/>
    <w:rsid w:val="00850D01"/>
    <w:rsid w:val="008550DC"/>
    <w:rsid w:val="008C61DE"/>
    <w:rsid w:val="008F471E"/>
    <w:rsid w:val="009262D2"/>
    <w:rsid w:val="009E7B5C"/>
    <w:rsid w:val="00A14B34"/>
    <w:rsid w:val="00A24E8A"/>
    <w:rsid w:val="00A5614C"/>
    <w:rsid w:val="00AB50C7"/>
    <w:rsid w:val="00AB77DC"/>
    <w:rsid w:val="00AD5DEE"/>
    <w:rsid w:val="00B03828"/>
    <w:rsid w:val="00B127EA"/>
    <w:rsid w:val="00B12FF3"/>
    <w:rsid w:val="00B33DA1"/>
    <w:rsid w:val="00B62A3E"/>
    <w:rsid w:val="00B97C7E"/>
    <w:rsid w:val="00BC2B03"/>
    <w:rsid w:val="00C17B32"/>
    <w:rsid w:val="00C813DF"/>
    <w:rsid w:val="00CB51FB"/>
    <w:rsid w:val="00CB7FB7"/>
    <w:rsid w:val="00CC2F2F"/>
    <w:rsid w:val="00D53586"/>
    <w:rsid w:val="00D57F17"/>
    <w:rsid w:val="00D75E70"/>
    <w:rsid w:val="00D93B44"/>
    <w:rsid w:val="00DA1AA0"/>
    <w:rsid w:val="00E61AD0"/>
    <w:rsid w:val="00E96B90"/>
    <w:rsid w:val="00EB54CF"/>
    <w:rsid w:val="00EC6CC0"/>
    <w:rsid w:val="00EF0EC1"/>
    <w:rsid w:val="00F11401"/>
    <w:rsid w:val="00FA384C"/>
    <w:rsid w:val="00FC4BAC"/>
    <w:rsid w:val="00FD5BEE"/>
    <w:rsid w:val="00FF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b/>
      <w:bCs/>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E61AD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E61AD0"/>
    <w:rPr>
      <w:i/>
      <w:iCs/>
    </w:rPr>
  </w:style>
  <w:style w:type="paragraph" w:customStyle="1" w:styleId="1">
    <w:name w:val="Основной текст1"/>
    <w:basedOn w:val="a"/>
    <w:link w:val="af2"/>
    <w:rsid w:val="00E61AD0"/>
    <w:pPr>
      <w:widowControl/>
      <w:shd w:val="clear" w:color="auto" w:fill="FFFFFF"/>
      <w:autoSpaceDE/>
      <w:autoSpaceDN/>
      <w:adjustRightInd/>
      <w:spacing w:after="300" w:line="346" w:lineRule="exact"/>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3191</Words>
  <Characters>23045</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GavrichenkovaEA</cp:lastModifiedBy>
  <cp:revision>13</cp:revision>
  <dcterms:created xsi:type="dcterms:W3CDTF">2018-07-23T07:43:00Z</dcterms:created>
  <dcterms:modified xsi:type="dcterms:W3CDTF">2019-02-15T07:44:00Z</dcterms:modified>
</cp:coreProperties>
</file>